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C51" w:rsidRDefault="00FE0C51" w:rsidP="00FE0C51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ВОПРОСЫ</w:t>
      </w:r>
    </w:p>
    <w:p w:rsidR="00FE0C51" w:rsidRDefault="00FE0C51" w:rsidP="00FE0C51">
      <w:pPr>
        <w:jc w:val="center"/>
        <w:rPr>
          <w:rFonts w:eastAsia="MS Mincho"/>
          <w:b/>
          <w:sz w:val="24"/>
          <w:szCs w:val="24"/>
        </w:rPr>
      </w:pPr>
      <w:r>
        <w:rPr>
          <w:rFonts w:eastAsia="MS Mincho"/>
          <w:b/>
          <w:sz w:val="24"/>
          <w:szCs w:val="24"/>
        </w:rPr>
        <w:t>КАНДИДАТСКИЙ ЭКЗАМЕН</w:t>
      </w:r>
    </w:p>
    <w:p w:rsidR="006862BB" w:rsidRPr="001704B5" w:rsidRDefault="006862BB" w:rsidP="00226A67">
      <w:pPr>
        <w:jc w:val="center"/>
        <w:rPr>
          <w:b/>
          <w:sz w:val="24"/>
          <w:szCs w:val="24"/>
        </w:rPr>
      </w:pPr>
      <w:r w:rsidRPr="001704B5">
        <w:rPr>
          <w:rFonts w:eastAsia="MS Mincho"/>
          <w:b/>
          <w:sz w:val="24"/>
          <w:szCs w:val="24"/>
        </w:rPr>
        <w:t xml:space="preserve">Направление </w:t>
      </w:r>
      <w:r w:rsidR="00B20CD5">
        <w:rPr>
          <w:rFonts w:eastAsia="MS Mincho"/>
          <w:b/>
          <w:sz w:val="24"/>
          <w:szCs w:val="24"/>
        </w:rPr>
        <w:t xml:space="preserve">подготовки </w:t>
      </w:r>
      <w:r w:rsidRPr="001704B5">
        <w:rPr>
          <w:b/>
          <w:bCs/>
          <w:sz w:val="24"/>
          <w:szCs w:val="24"/>
        </w:rPr>
        <w:t>31.06.01 Клиническая медицина</w:t>
      </w:r>
    </w:p>
    <w:p w:rsidR="006862BB" w:rsidRDefault="00FE0C51" w:rsidP="00226A67">
      <w:pPr>
        <w:jc w:val="center"/>
        <w:rPr>
          <w:b/>
          <w:bCs/>
          <w:sz w:val="24"/>
          <w:szCs w:val="24"/>
        </w:rPr>
      </w:pPr>
      <w:r>
        <w:rPr>
          <w:rFonts w:eastAsia="MS Mincho"/>
          <w:b/>
          <w:sz w:val="24"/>
          <w:szCs w:val="24"/>
        </w:rPr>
        <w:t>Специальность 14.01.11</w:t>
      </w:r>
      <w:r w:rsidR="006862BB" w:rsidRPr="001704B5">
        <w:rPr>
          <w:b/>
          <w:bCs/>
          <w:sz w:val="24"/>
          <w:szCs w:val="24"/>
        </w:rPr>
        <w:t xml:space="preserve"> Нервные болезни</w:t>
      </w:r>
    </w:p>
    <w:p w:rsidR="00DE6304" w:rsidRPr="001704B5" w:rsidRDefault="00DE6304" w:rsidP="00226A67">
      <w:pPr>
        <w:jc w:val="center"/>
        <w:rPr>
          <w:b/>
          <w:bCs/>
          <w:sz w:val="24"/>
          <w:szCs w:val="24"/>
        </w:rPr>
      </w:pP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Менингеальный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синдром.</w:t>
      </w:r>
      <w:r>
        <w:rPr>
          <w:rFonts w:ascii="Times New Roman" w:hAnsi="Times New Roman" w:cs="Times New Roman"/>
          <w:sz w:val="24"/>
          <w:szCs w:val="24"/>
        </w:rPr>
        <w:t xml:space="preserve"> Методы исследования, диагностическая значимость.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Пирамидная система, ее структурно – функциональные особенности. Основные причины поражения на различных уровнях.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Альтернирующие</w:t>
      </w:r>
      <w:r w:rsidRPr="00207A8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синдромы</w:t>
      </w:r>
      <w:r w:rsidRPr="00207A8C"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Синдромы поражения </w:t>
      </w:r>
      <w:r>
        <w:rPr>
          <w:rFonts w:ascii="Times New Roman" w:hAnsi="Times New Roman" w:cs="Times New Roman"/>
          <w:sz w:val="24"/>
          <w:szCs w:val="24"/>
        </w:rPr>
        <w:t>базальных</w:t>
      </w:r>
      <w:r w:rsidRPr="00207A8C">
        <w:rPr>
          <w:rFonts w:ascii="Times New Roman" w:hAnsi="Times New Roman" w:cs="Times New Roman"/>
          <w:sz w:val="24"/>
          <w:szCs w:val="24"/>
        </w:rPr>
        <w:t xml:space="preserve"> ганглиев.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Генерализованная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и фокальная мышечные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дистонии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Синдром паркинсонизма, клинические симптомы. Диагностические критерии.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Симптомы поражения мозжечка и их патофизиологические механизмы.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Зрительный бугор как коллектор всех видов чувствительности. Синдромы поражения зрительного бугра. 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Чувствительный анализатор. Типы нарушений чувствительности.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Ноцицептивная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антиноцицептивная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системы.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Зрительный анализатор. Симптомы поражения на различных уровнях.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Симптомы поражения центральной и периферической части вестибулярного анализатора</w:t>
      </w:r>
      <w:r w:rsidRPr="00207A8C">
        <w:rPr>
          <w:rFonts w:ascii="Times New Roman" w:hAnsi="Times New Roman" w:cs="Times New Roman"/>
          <w:sz w:val="24"/>
          <w:szCs w:val="24"/>
        </w:rPr>
        <w:t>. Методы исследования вестибулярного анализатора.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 Слуховой анализатор.  Синдромы поражения слухового анализатора в зависимости от уровня и характера патологического процесса.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Синдромы поражения вегетативной нервной системы. Синдром </w:t>
      </w:r>
      <w:proofErr w:type="gramStart"/>
      <w:r w:rsidRPr="00207A8C">
        <w:rPr>
          <w:rFonts w:ascii="Times New Roman" w:hAnsi="Times New Roman" w:cs="Times New Roman"/>
          <w:sz w:val="24"/>
          <w:szCs w:val="24"/>
        </w:rPr>
        <w:t>вегетативной</w:t>
      </w:r>
      <w:proofErr w:type="gramEnd"/>
      <w:r w:rsidRPr="00207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дистонии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Прогрессирующая вегетативная недостаточность. Вегетативно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сосудистотрофические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синдромы.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Синкопальные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состояния. Дифференциальная диагностика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синкопальных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состояний.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Система регуляции сна и бодрствования. Классификация нарушений сна,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диссомнические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расстройства и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гиперсомнии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Афазии. Классификация. Топическая диагностика.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Апраксии. Виды </w:t>
      </w:r>
      <w:proofErr w:type="spellStart"/>
      <w:r>
        <w:rPr>
          <w:rFonts w:ascii="Times New Roman" w:hAnsi="Times New Roman" w:cs="Times New Roman"/>
          <w:sz w:val="24"/>
          <w:szCs w:val="24"/>
        </w:rPr>
        <w:t>апраксий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тесты на выявление расстройств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праксиса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Синдром поражения лобной доли.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Синдром поражения височной доли.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Синдром поражения теменной доли.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Синдром поражения затылочной доли.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Классификация сосудистых заболеваний нервной системы.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lastRenderedPageBreak/>
        <w:t xml:space="preserve">Ишемический инсульт. Представление о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гетерогенности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ишемического инсульта. Подтипы ишемических инсультов.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Геморрагический инсульт. Основные формы. Патогенез. Клинические проявления. Тактика выбора консервативного и нейрохирургического лечения.</w:t>
      </w:r>
    </w:p>
    <w:p w:rsidR="00A53AE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Базисная и патогенетическая терапия инсультов.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Первичная и вторичная профилактика ишемического инсульта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Сосудистые заболевания спинного мозга.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Внутричерепная гипертензия. Клиническая картина. Методы диагностики. Дислокационные синдромы.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Принципы неврологического обследования больного, находящегося в коме.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Виды нарушений сознания.</w:t>
      </w:r>
      <w:r>
        <w:rPr>
          <w:rFonts w:ascii="Times New Roman" w:hAnsi="Times New Roman" w:cs="Times New Roman"/>
          <w:sz w:val="24"/>
          <w:szCs w:val="24"/>
        </w:rPr>
        <w:t xml:space="preserve"> Методы оценки.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Классификация эпилепсии. </w:t>
      </w:r>
      <w:r>
        <w:rPr>
          <w:rFonts w:ascii="Times New Roman" w:hAnsi="Times New Roman" w:cs="Times New Roman"/>
          <w:sz w:val="24"/>
          <w:szCs w:val="24"/>
        </w:rPr>
        <w:t xml:space="preserve">Клиническая и ЭЭГ картина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различные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вариантов</w:t>
      </w:r>
      <w:r w:rsidRPr="00207A8C">
        <w:rPr>
          <w:rFonts w:ascii="Times New Roman" w:hAnsi="Times New Roman" w:cs="Times New Roman"/>
          <w:sz w:val="24"/>
          <w:szCs w:val="24"/>
        </w:rPr>
        <w:t xml:space="preserve"> эпилептических приступов.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Эпилептический статус. Принципы терапии. Неотложная помощь.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Лечение эпилепсии. Механизмы </w:t>
      </w:r>
      <w:proofErr w:type="gramStart"/>
      <w:r w:rsidRPr="00207A8C">
        <w:rPr>
          <w:rFonts w:ascii="Times New Roman" w:hAnsi="Times New Roman" w:cs="Times New Roman"/>
          <w:sz w:val="24"/>
          <w:szCs w:val="24"/>
        </w:rPr>
        <w:t>терапевтического</w:t>
      </w:r>
      <w:proofErr w:type="gramEnd"/>
      <w:r w:rsidRPr="00207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действя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противосудорожных препаратов.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Невропатия лицевого нерва. Этиология. Патогенез. Клинические проявления. Методы исследования.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Компрессионно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– ишемические невропатии. Принципы диагностики и лечения.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Острая и хроническая воспалительная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демиелинизирующая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полинейропатия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>. Клиника. Диагностика. Принципы терапии.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Вертеброгенные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заболевания нервной системы.  Классификация. Клиническая картина. Принципы лечения и реабилитации. 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Невралгия тройничного нерва. Клиника. Диагностика.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Детский церебральный паралич. Клиника. Диагностика. Лечение. Реабилитация.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Менингиты. Классификация. Методы исследования. Принципы терапии.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Энцефалиты. Классификация. </w:t>
      </w:r>
      <w:r>
        <w:rPr>
          <w:rFonts w:ascii="Times New Roman" w:hAnsi="Times New Roman" w:cs="Times New Roman"/>
          <w:sz w:val="24"/>
          <w:szCs w:val="24"/>
        </w:rPr>
        <w:t>Клиника, диагностика, лечение</w:t>
      </w:r>
      <w:r w:rsidRPr="00207A8C"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Клещевой энцефалит. Этиология, патогенез, клиника. Принципы терапии и профилактики.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Полиомиелит. Этиология. Патогенез. Лечение и профилактика.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Полиомиелитоподобные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заболевания у детей.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Абсцесс головного мозга. Клиника. Диагностика. Консервативное и хирургическое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Неврологические проявления ВИЧ – инфекции. Дифференциальная диагностика. Принципы терапии.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Рассеянный склероз. Клиника. Диагностика. Лечение и профилактика.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lastRenderedPageBreak/>
        <w:t xml:space="preserve">Боковой </w:t>
      </w: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амиотрофический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склероз. Диагностика. Клиника. Принципы ведения больного.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Миастения. Патогенез.</w:t>
      </w:r>
      <w:r>
        <w:rPr>
          <w:rFonts w:ascii="Times New Roman" w:hAnsi="Times New Roman" w:cs="Times New Roman"/>
          <w:sz w:val="24"/>
          <w:szCs w:val="24"/>
        </w:rPr>
        <w:t xml:space="preserve"> Классификация. </w:t>
      </w:r>
      <w:r w:rsidRPr="00207A8C">
        <w:rPr>
          <w:rFonts w:ascii="Times New Roman" w:hAnsi="Times New Roman" w:cs="Times New Roman"/>
          <w:sz w:val="24"/>
          <w:szCs w:val="24"/>
        </w:rPr>
        <w:t xml:space="preserve"> Клиника. Лечение. 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Сирингомиелия. Клиническая картина</w:t>
      </w:r>
      <w:r w:rsidRPr="00207A8C">
        <w:rPr>
          <w:rFonts w:ascii="Times New Roman" w:hAnsi="Times New Roman" w:cs="Times New Roman"/>
          <w:sz w:val="24"/>
          <w:szCs w:val="24"/>
        </w:rPr>
        <w:t>. Принципы ведения больного.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Прогрессирующие мышечные дистрофии. Клиника. Диагностика. Тактика ведения больного. 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07A8C">
        <w:rPr>
          <w:rFonts w:ascii="Times New Roman" w:hAnsi="Times New Roman" w:cs="Times New Roman"/>
          <w:sz w:val="24"/>
          <w:szCs w:val="24"/>
        </w:rPr>
        <w:t>Гепато</w:t>
      </w:r>
      <w:proofErr w:type="spellEnd"/>
      <w:r w:rsidRPr="00207A8C">
        <w:rPr>
          <w:rFonts w:ascii="Times New Roman" w:hAnsi="Times New Roman" w:cs="Times New Roman"/>
          <w:sz w:val="24"/>
          <w:szCs w:val="24"/>
        </w:rPr>
        <w:t xml:space="preserve"> – церебеллярная дистрофия (Болезнь Вильсона - Коновалова). Клиника. Диагностика.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 xml:space="preserve">Болезнь Паркинсона. Клиника. Диагностика. </w:t>
      </w:r>
      <w:r>
        <w:rPr>
          <w:rFonts w:ascii="Times New Roman" w:hAnsi="Times New Roman" w:cs="Times New Roman"/>
          <w:sz w:val="24"/>
          <w:szCs w:val="24"/>
        </w:rPr>
        <w:t>Принципы ведения пациентов на разных стадиях заболевания</w:t>
      </w:r>
      <w:r w:rsidRPr="00207A8C">
        <w:rPr>
          <w:rFonts w:ascii="Times New Roman" w:hAnsi="Times New Roman" w:cs="Times New Roman"/>
          <w:sz w:val="24"/>
          <w:szCs w:val="24"/>
        </w:rPr>
        <w:t>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Черепно-мозговая травма. Классификация. Клиника.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Позвоночно-с</w:t>
      </w:r>
      <w:r w:rsidRPr="00207A8C">
        <w:rPr>
          <w:rFonts w:ascii="Times New Roman" w:hAnsi="Times New Roman" w:cs="Times New Roman"/>
          <w:sz w:val="24"/>
          <w:szCs w:val="24"/>
        </w:rPr>
        <w:t>пинномозговая травма. Классификация. Клиника.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Опухоли головного мозга. Классификация.  Клиника. Диагностика. Консервативное и хирургическое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Опухоли спинного мозга. Классификация.  Клиника. Диагностика. Консервативное и хирургическое лечение.</w:t>
      </w:r>
    </w:p>
    <w:p w:rsidR="00A53AEC" w:rsidRPr="00207A8C" w:rsidRDefault="00A53AEC" w:rsidP="00DE6304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07A8C">
        <w:rPr>
          <w:rFonts w:ascii="Times New Roman" w:hAnsi="Times New Roman" w:cs="Times New Roman"/>
          <w:sz w:val="24"/>
          <w:szCs w:val="24"/>
        </w:rPr>
        <w:t>Поражение нервной системы при алкоголизме.</w:t>
      </w:r>
    </w:p>
    <w:p w:rsidR="00B344E7" w:rsidRPr="00B344E7" w:rsidRDefault="00A53AEC" w:rsidP="00B344E7">
      <w:pPr>
        <w:pStyle w:val="a7"/>
        <w:numPr>
          <w:ilvl w:val="0"/>
          <w:numId w:val="4"/>
        </w:numPr>
        <w:spacing w:after="120"/>
        <w:ind w:left="426" w:hanging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344E7">
        <w:rPr>
          <w:rFonts w:ascii="Times New Roman" w:hAnsi="Times New Roman" w:cs="Times New Roman"/>
          <w:sz w:val="24"/>
          <w:szCs w:val="24"/>
        </w:rPr>
        <w:t>Полиневропатии</w:t>
      </w:r>
      <w:proofErr w:type="spellEnd"/>
      <w:r w:rsidRPr="00B344E7">
        <w:rPr>
          <w:rFonts w:ascii="Times New Roman" w:hAnsi="Times New Roman" w:cs="Times New Roman"/>
          <w:sz w:val="24"/>
          <w:szCs w:val="24"/>
        </w:rPr>
        <w:t>. Патогенез. Классификация. Клиника. Диагностика. Принципы лечения.</w:t>
      </w:r>
      <w:bookmarkStart w:id="0" w:name="_GoBack"/>
      <w:bookmarkEnd w:id="0"/>
    </w:p>
    <w:sectPr w:rsidR="00B344E7" w:rsidRPr="00B344E7" w:rsidSect="008C59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C65CA"/>
    <w:multiLevelType w:val="hybridMultilevel"/>
    <w:tmpl w:val="1A20B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4331E8"/>
    <w:multiLevelType w:val="hybridMultilevel"/>
    <w:tmpl w:val="B53E7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1C1D4E"/>
    <w:multiLevelType w:val="hybridMultilevel"/>
    <w:tmpl w:val="064E51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B13521A"/>
    <w:multiLevelType w:val="hybridMultilevel"/>
    <w:tmpl w:val="FAFE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74B7"/>
    <w:rsid w:val="0003283C"/>
    <w:rsid w:val="001374B7"/>
    <w:rsid w:val="00226A67"/>
    <w:rsid w:val="004864B7"/>
    <w:rsid w:val="005102DF"/>
    <w:rsid w:val="00550C87"/>
    <w:rsid w:val="005B2368"/>
    <w:rsid w:val="00641D95"/>
    <w:rsid w:val="006862BB"/>
    <w:rsid w:val="007709DF"/>
    <w:rsid w:val="008C5978"/>
    <w:rsid w:val="008D293A"/>
    <w:rsid w:val="008F4D7E"/>
    <w:rsid w:val="009A0D40"/>
    <w:rsid w:val="00A53AEC"/>
    <w:rsid w:val="00A975D0"/>
    <w:rsid w:val="00AF2605"/>
    <w:rsid w:val="00B20CD5"/>
    <w:rsid w:val="00B344E7"/>
    <w:rsid w:val="00CF0A2A"/>
    <w:rsid w:val="00DE6304"/>
    <w:rsid w:val="00FE0C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2BB"/>
    <w:pPr>
      <w:spacing w:after="0" w:line="240" w:lineRule="auto"/>
    </w:pPr>
    <w:rPr>
      <w:rFonts w:ascii="Times New Roman" w:eastAsia="Calibri" w:hAnsi="Times New Roman" w:cs="Tahoma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unhideWhenUsed/>
    <w:rsid w:val="006862BB"/>
    <w:rPr>
      <w:rFonts w:ascii="Courier New" w:eastAsia="Times New Roman" w:hAnsi="Courier New" w:cs="Times New Roman"/>
      <w:sz w:val="20"/>
    </w:rPr>
  </w:style>
  <w:style w:type="character" w:customStyle="1" w:styleId="a4">
    <w:name w:val="Текст Знак"/>
    <w:basedOn w:val="a0"/>
    <w:link w:val="a3"/>
    <w:uiPriority w:val="99"/>
    <w:rsid w:val="006862BB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5">
    <w:name w:val="Strong"/>
    <w:basedOn w:val="a0"/>
    <w:uiPriority w:val="22"/>
    <w:qFormat/>
    <w:rsid w:val="006862BB"/>
    <w:rPr>
      <w:b/>
      <w:bCs/>
    </w:rPr>
  </w:style>
  <w:style w:type="character" w:styleId="a6">
    <w:name w:val="Hyperlink"/>
    <w:basedOn w:val="a0"/>
    <w:uiPriority w:val="99"/>
    <w:unhideWhenUsed/>
    <w:rsid w:val="006862BB"/>
    <w:rPr>
      <w:color w:val="0000FF"/>
      <w:u w:val="single"/>
    </w:rPr>
  </w:style>
  <w:style w:type="paragraph" w:customStyle="1" w:styleId="1">
    <w:name w:val="Абзац списка1"/>
    <w:basedOn w:val="a"/>
    <w:rsid w:val="006862BB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A53AE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25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683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14</cp:revision>
  <dcterms:created xsi:type="dcterms:W3CDTF">2017-12-14T08:16:00Z</dcterms:created>
  <dcterms:modified xsi:type="dcterms:W3CDTF">2019-12-09T07:14:00Z</dcterms:modified>
</cp:coreProperties>
</file>